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A0" w:rsidRPr="007B65A0" w:rsidRDefault="007B65A0" w:rsidP="007B65A0">
      <w:pPr>
        <w:rPr>
          <w:sz w:val="22"/>
        </w:rPr>
      </w:pPr>
      <w:bookmarkStart w:id="0" w:name="_GoBack"/>
      <w:bookmarkEnd w:id="0"/>
    </w:p>
    <w:p w:rsidR="007B65A0" w:rsidRPr="00634002" w:rsidRDefault="00634002" w:rsidP="00634002">
      <w:pPr>
        <w:ind w:firstLineChars="450" w:firstLine="1080"/>
        <w:jc w:val="right"/>
        <w:rPr>
          <w:rFonts w:ascii="ＭＳ 明朝" w:eastAsia="ＭＳ 明朝" w:hAnsi="ＭＳ 明朝"/>
          <w:color w:val="000000"/>
          <w:sz w:val="24"/>
          <w:szCs w:val="24"/>
        </w:rPr>
      </w:pPr>
      <w:r w:rsidRPr="00634002">
        <w:rPr>
          <w:rFonts w:ascii="ＭＳ 明朝" w:eastAsia="ＭＳ 明朝" w:hAnsi="ＭＳ 明朝" w:hint="eastAsia"/>
          <w:color w:val="000000"/>
          <w:sz w:val="24"/>
          <w:szCs w:val="24"/>
          <w:bdr w:val="single" w:sz="4" w:space="0" w:color="auto"/>
        </w:rPr>
        <w:t>別</w:t>
      </w:r>
      <w:r>
        <w:rPr>
          <w:rFonts w:ascii="ＭＳ 明朝" w:eastAsia="ＭＳ 明朝" w:hAnsi="ＭＳ 明朝" w:hint="eastAsia"/>
          <w:color w:val="000000"/>
          <w:sz w:val="24"/>
          <w:szCs w:val="24"/>
          <w:bdr w:val="single" w:sz="4" w:space="0" w:color="auto"/>
        </w:rPr>
        <w:t xml:space="preserve">　</w:t>
      </w:r>
      <w:r w:rsidRPr="00634002">
        <w:rPr>
          <w:rFonts w:ascii="ＭＳ 明朝" w:eastAsia="ＭＳ 明朝" w:hAnsi="ＭＳ 明朝" w:hint="eastAsia"/>
          <w:color w:val="000000"/>
          <w:sz w:val="24"/>
          <w:szCs w:val="24"/>
          <w:bdr w:val="single" w:sz="4" w:space="0" w:color="auto"/>
        </w:rPr>
        <w:t>紙</w:t>
      </w:r>
      <w:r w:rsidRPr="00634002">
        <w:rPr>
          <w:rFonts w:ascii="ＭＳ 明朝" w:eastAsia="ＭＳ 明朝" w:hAnsi="ＭＳ 明朝" w:hint="eastAsia"/>
          <w:color w:val="000000"/>
          <w:sz w:val="24"/>
          <w:szCs w:val="24"/>
        </w:rPr>
        <w:t xml:space="preserve">　　　　</w:t>
      </w:r>
    </w:p>
    <w:p w:rsidR="00634002" w:rsidRDefault="00634002" w:rsidP="00256F81">
      <w:pPr>
        <w:rPr>
          <w:rFonts w:ascii="HGPｺﾞｼｯｸE" w:eastAsia="HGPｺﾞｼｯｸE" w:hAnsi="HGPｺﾞｼｯｸE"/>
          <w:color w:val="000000"/>
          <w:sz w:val="24"/>
          <w:szCs w:val="24"/>
        </w:rPr>
      </w:pPr>
    </w:p>
    <w:p w:rsidR="00634002" w:rsidRDefault="00634002" w:rsidP="00634002">
      <w:pPr>
        <w:rPr>
          <w:rFonts w:ascii="HGPｺﾞｼｯｸE" w:eastAsia="HGPｺﾞｼｯｸE" w:hAnsi="HGPｺﾞｼｯｸE"/>
          <w:color w:val="000000"/>
          <w:sz w:val="24"/>
          <w:szCs w:val="24"/>
        </w:rPr>
      </w:pPr>
    </w:p>
    <w:p w:rsidR="00682790" w:rsidRPr="00D765E9" w:rsidRDefault="00256F81" w:rsidP="00634002">
      <w:pPr>
        <w:rPr>
          <w:rFonts w:ascii="HGPｺﾞｼｯｸE" w:eastAsia="HGPｺﾞｼｯｸE" w:hAnsi="HGPｺﾞｼｯｸE"/>
          <w:color w:val="000000"/>
          <w:sz w:val="24"/>
          <w:szCs w:val="24"/>
        </w:rPr>
      </w:pPr>
      <w:r>
        <w:rPr>
          <w:rFonts w:ascii="HGPｺﾞｼｯｸE" w:eastAsia="HGPｺﾞｼｯｸE" w:hAnsi="HGPｺﾞｼｯｸE" w:hint="eastAsia"/>
          <w:color w:val="000000"/>
          <w:sz w:val="24"/>
          <w:szCs w:val="24"/>
        </w:rPr>
        <w:t xml:space="preserve">④ </w:t>
      </w:r>
      <w:r w:rsidRPr="00D765E9">
        <w:rPr>
          <w:rFonts w:ascii="HGPｺﾞｼｯｸE" w:eastAsia="HGPｺﾞｼｯｸE" w:hAnsi="HGPｺﾞｼｯｸE"/>
          <w:color w:val="000000"/>
          <w:sz w:val="24"/>
          <w:szCs w:val="24"/>
        </w:rPr>
        <w:t>VC</w:t>
      </w:r>
      <w:r>
        <w:rPr>
          <w:rFonts w:ascii="HGPｺﾞｼｯｸE" w:eastAsia="HGPｺﾞｼｯｸE" w:hAnsi="HGPｺﾞｼｯｸE" w:hint="eastAsia"/>
          <w:color w:val="000000"/>
          <w:sz w:val="24"/>
          <w:szCs w:val="24"/>
        </w:rPr>
        <w:t>における</w:t>
      </w:r>
      <w:r w:rsidR="00682790" w:rsidRPr="00D765E9">
        <w:rPr>
          <w:rFonts w:ascii="HGPｺﾞｼｯｸE" w:eastAsia="HGPｺﾞｼｯｸE" w:hAnsi="HGPｺﾞｼｯｸE" w:hint="eastAsia"/>
          <w:color w:val="000000"/>
          <w:sz w:val="24"/>
          <w:szCs w:val="24"/>
        </w:rPr>
        <w:t>ベンチャーファンド会計基準の見直し</w:t>
      </w:r>
    </w:p>
    <w:p w:rsidR="00682790" w:rsidRPr="00BE4B56" w:rsidRDefault="00682790" w:rsidP="00682790">
      <w:pPr>
        <w:rPr>
          <w:b/>
          <w:color w:val="000000"/>
        </w:rPr>
      </w:pPr>
      <w:r w:rsidRPr="00BE4B56">
        <w:rPr>
          <w:rFonts w:hint="eastAsia"/>
          <w:b/>
          <w:color w:val="000000"/>
        </w:rPr>
        <w:t>＜ファンド連結について＞</w:t>
      </w:r>
    </w:p>
    <w:p w:rsidR="00682790" w:rsidRPr="00830D09" w:rsidRDefault="00682790" w:rsidP="00682790">
      <w:pPr>
        <w:ind w:firstLineChars="100" w:firstLine="210"/>
        <w:rPr>
          <w:color w:val="000000"/>
        </w:rPr>
      </w:pPr>
      <w:r w:rsidRPr="00830D09">
        <w:rPr>
          <w:rFonts w:hint="eastAsia"/>
          <w:color w:val="000000"/>
        </w:rPr>
        <w:t>2006</w:t>
      </w:r>
      <w:r w:rsidRPr="00830D09">
        <w:rPr>
          <w:rFonts w:hint="eastAsia"/>
          <w:color w:val="000000"/>
        </w:rPr>
        <w:t>年</w:t>
      </w:r>
      <w:r w:rsidRPr="00830D09">
        <w:rPr>
          <w:color w:val="000000"/>
        </w:rPr>
        <w:t>9</w:t>
      </w:r>
      <w:r w:rsidRPr="00830D09">
        <w:rPr>
          <w:rFonts w:hint="eastAsia"/>
          <w:color w:val="000000"/>
        </w:rPr>
        <w:t>月</w:t>
      </w:r>
      <w:r w:rsidRPr="00830D09">
        <w:rPr>
          <w:color w:val="000000"/>
        </w:rPr>
        <w:t>8</w:t>
      </w:r>
      <w:r w:rsidRPr="00830D09">
        <w:rPr>
          <w:rFonts w:hint="eastAsia"/>
          <w:color w:val="000000"/>
        </w:rPr>
        <w:t>日に企業会計基準委員会から公表された実務対応報告第</w:t>
      </w:r>
      <w:r w:rsidRPr="00830D09">
        <w:rPr>
          <w:color w:val="000000"/>
        </w:rPr>
        <w:t>20</w:t>
      </w:r>
      <w:r w:rsidRPr="00830D09">
        <w:rPr>
          <w:rFonts w:hint="eastAsia"/>
          <w:color w:val="000000"/>
        </w:rPr>
        <w:t>号「投資事業組合に対する支配力基準および影響力基準</w:t>
      </w:r>
      <w:r>
        <w:rPr>
          <w:rFonts w:hint="eastAsia"/>
          <w:color w:val="000000"/>
        </w:rPr>
        <w:t>の適用に関する実務上の取扱い」では、</w:t>
      </w:r>
      <w:r w:rsidRPr="00830D09">
        <w:rPr>
          <w:color w:val="000000"/>
        </w:rPr>
        <w:t>VC</w:t>
      </w:r>
      <w:r w:rsidRPr="00830D09">
        <w:rPr>
          <w:rFonts w:hint="eastAsia"/>
          <w:color w:val="000000"/>
        </w:rPr>
        <w:t>が投資事業組合の業務執行権の過半を有する場合には、支配に該当することとされ、その投資事業組合を連結した連結財務諸表の作成を求めている。本実務対応報告は、当時、投資事業組合に係る不適切な会計処理が指摘されたことにともない導入されたものであるが、その後、見直しが行われていない。</w:t>
      </w:r>
    </w:p>
    <w:p w:rsidR="00682790" w:rsidRPr="00830D09" w:rsidRDefault="00682790" w:rsidP="00682790">
      <w:pPr>
        <w:ind w:firstLineChars="100" w:firstLine="210"/>
        <w:rPr>
          <w:color w:val="000000"/>
        </w:rPr>
      </w:pPr>
      <w:r w:rsidRPr="00830D09">
        <w:rPr>
          <w:rFonts w:hint="eastAsia"/>
          <w:color w:val="000000"/>
        </w:rPr>
        <w:t>健全な</w:t>
      </w:r>
      <w:r w:rsidRPr="00830D09">
        <w:rPr>
          <w:color w:val="000000"/>
        </w:rPr>
        <w:t>VC</w:t>
      </w:r>
      <w:r w:rsidRPr="00830D09">
        <w:rPr>
          <w:rFonts w:hint="eastAsia"/>
          <w:color w:val="000000"/>
        </w:rPr>
        <w:t>業界の発展のために、</w:t>
      </w:r>
      <w:r w:rsidRPr="00830D09">
        <w:rPr>
          <w:color w:val="000000"/>
        </w:rPr>
        <w:t>VC</w:t>
      </w:r>
      <w:r w:rsidRPr="00830D09">
        <w:rPr>
          <w:rFonts w:hint="eastAsia"/>
          <w:color w:val="000000"/>
        </w:rPr>
        <w:t>を専業とする上場</w:t>
      </w:r>
      <w:r w:rsidRPr="00830D09">
        <w:rPr>
          <w:color w:val="000000"/>
        </w:rPr>
        <w:t>VC</w:t>
      </w:r>
      <w:r w:rsidRPr="00830D09">
        <w:rPr>
          <w:rFonts w:hint="eastAsia"/>
          <w:color w:val="000000"/>
        </w:rPr>
        <w:t>の連結財務諸表に関し、個別財務諸表上、貸借対照表および損益計算書双方について持分相当額を計上する方法（いわゆる総額法）を採用している場合には、投資事業組合を連結の範囲に含めないとすることが相当である。</w:t>
      </w:r>
    </w:p>
    <w:p w:rsidR="00682790" w:rsidRPr="00830D09" w:rsidRDefault="00682790" w:rsidP="00682790">
      <w:pPr>
        <w:ind w:firstLineChars="100" w:firstLine="210"/>
        <w:rPr>
          <w:color w:val="000000"/>
        </w:rPr>
      </w:pPr>
      <w:r w:rsidRPr="00830D09">
        <w:rPr>
          <w:rFonts w:hint="eastAsia"/>
          <w:color w:val="000000"/>
        </w:rPr>
        <w:t>その他、投資事業組合の出資者への投資先株式等による現物分配の会計処理についても、出資者と</w:t>
      </w:r>
      <w:r w:rsidRPr="00830D09">
        <w:rPr>
          <w:color w:val="000000"/>
        </w:rPr>
        <w:t>VC</w:t>
      </w:r>
      <w:r w:rsidRPr="00830D09">
        <w:rPr>
          <w:rFonts w:hint="eastAsia"/>
          <w:color w:val="000000"/>
        </w:rPr>
        <w:t>との会計処理の整合性を重視する実務慣行が尊重されるべきである。</w:t>
      </w:r>
    </w:p>
    <w:p w:rsidR="00682790" w:rsidRPr="00D43749" w:rsidRDefault="00682790" w:rsidP="000C69CF">
      <w:pPr>
        <w:spacing w:beforeLines="50" w:before="180"/>
        <w:rPr>
          <w:rFonts w:ascii="ＭＳ 明朝" w:hAnsi="ＭＳ 明朝"/>
          <w:b/>
          <w:szCs w:val="21"/>
        </w:rPr>
      </w:pPr>
      <w:r w:rsidRPr="00D43749">
        <w:rPr>
          <w:rFonts w:ascii="ＭＳ 明朝" w:hAnsi="ＭＳ 明朝" w:hint="eastAsia"/>
          <w:b/>
          <w:szCs w:val="21"/>
        </w:rPr>
        <w:t>＜会計上の投資評価基準の一本化＞</w:t>
      </w:r>
    </w:p>
    <w:p w:rsidR="00682790" w:rsidRPr="00457F0D" w:rsidRDefault="00682790" w:rsidP="00682790">
      <w:pPr>
        <w:ind w:leftChars="-1" w:left="-2" w:firstLineChars="100" w:firstLine="210"/>
        <w:rPr>
          <w:rFonts w:ascii="ＭＳ 明朝" w:hAnsi="ＭＳ 明朝"/>
          <w:szCs w:val="21"/>
        </w:rPr>
      </w:pPr>
      <w:r w:rsidRPr="00457F0D">
        <w:rPr>
          <w:rFonts w:ascii="ＭＳ 明朝" w:hAnsi="ＭＳ 明朝" w:hint="eastAsia"/>
          <w:szCs w:val="21"/>
        </w:rPr>
        <w:t>現状の</w:t>
      </w:r>
      <w:r w:rsidRPr="00934A27">
        <w:rPr>
          <w:rFonts w:ascii="ＭＳ 明朝" w:hAnsi="ＭＳ 明朝" w:hint="eastAsia"/>
          <w:szCs w:val="21"/>
        </w:rPr>
        <w:t>投資事業有限責任組合に関する法律（以下「</w:t>
      </w:r>
      <w:r w:rsidRPr="000E10DC">
        <w:rPr>
          <w:rFonts w:ascii="ＭＳ 明朝" w:hAnsi="ＭＳ 明朝" w:hint="eastAsia"/>
          <w:szCs w:val="21"/>
        </w:rPr>
        <w:t>有責法</w:t>
      </w:r>
      <w:r w:rsidRPr="00934A27">
        <w:rPr>
          <w:rFonts w:ascii="ＭＳ 明朝" w:hAnsi="ＭＳ 明朝" w:hint="eastAsia"/>
          <w:szCs w:val="21"/>
        </w:rPr>
        <w:t>」）</w:t>
      </w:r>
      <w:r w:rsidRPr="000E10DC">
        <w:rPr>
          <w:rFonts w:ascii="ＭＳ 明朝" w:hAnsi="ＭＳ 明朝" w:hint="eastAsia"/>
          <w:szCs w:val="21"/>
        </w:rPr>
        <w:t>における</w:t>
      </w:r>
      <w:r w:rsidRPr="00934A27">
        <w:rPr>
          <w:rFonts w:ascii="ＭＳ 明朝" w:hAnsi="ＭＳ 明朝" w:hint="eastAsia"/>
          <w:szCs w:val="21"/>
        </w:rPr>
        <w:t>投資の</w:t>
      </w:r>
      <w:r w:rsidRPr="000E10DC">
        <w:rPr>
          <w:rFonts w:ascii="ＭＳ 明朝" w:hAnsi="ＭＳ 明朝" w:hint="eastAsia"/>
          <w:szCs w:val="21"/>
        </w:rPr>
        <w:t>評価基準</w:t>
      </w:r>
      <w:r w:rsidRPr="00934A27">
        <w:rPr>
          <w:rFonts w:ascii="ＭＳ 明朝" w:hAnsi="ＭＳ 明朝" w:hint="eastAsia"/>
          <w:szCs w:val="21"/>
        </w:rPr>
        <w:t>を</w:t>
      </w:r>
      <w:r w:rsidRPr="000E10DC">
        <w:rPr>
          <w:rFonts w:ascii="ＭＳ 明朝" w:hAnsi="ＭＳ 明朝" w:hint="eastAsia"/>
          <w:szCs w:val="21"/>
        </w:rPr>
        <w:t>金融商品に係る会計基準</w:t>
      </w:r>
      <w:r w:rsidRPr="00934A27">
        <w:rPr>
          <w:rFonts w:ascii="ＭＳ 明朝" w:hAnsi="ＭＳ 明朝" w:hint="eastAsia"/>
          <w:szCs w:val="21"/>
        </w:rPr>
        <w:t>における評価基準に</w:t>
      </w:r>
      <w:r w:rsidRPr="000E10DC">
        <w:rPr>
          <w:rFonts w:ascii="ＭＳ 明朝" w:hAnsi="ＭＳ 明朝" w:hint="eastAsia"/>
          <w:szCs w:val="21"/>
        </w:rPr>
        <w:t>一本化することを要望する。</w:t>
      </w:r>
    </w:p>
    <w:p w:rsidR="00682790" w:rsidRPr="00934A27" w:rsidRDefault="00682790" w:rsidP="00682790">
      <w:pPr>
        <w:ind w:leftChars="-1" w:left="-2" w:firstLineChars="100" w:firstLine="210"/>
        <w:rPr>
          <w:rFonts w:ascii="ＭＳ 明朝" w:hAnsi="ＭＳ 明朝"/>
          <w:szCs w:val="21"/>
        </w:rPr>
      </w:pPr>
      <w:r w:rsidRPr="00457F0D">
        <w:rPr>
          <w:rFonts w:ascii="ＭＳ 明朝" w:hAnsi="ＭＳ 明朝" w:hint="eastAsia"/>
          <w:szCs w:val="21"/>
        </w:rPr>
        <w:t>上述のようにグローバル基準への対応が迫られる中、日本におけるファンドをめぐる会計上の評価基準として、有責法に準拠し</w:t>
      </w:r>
      <w:r w:rsidRPr="00934A27">
        <w:rPr>
          <w:rFonts w:ascii="ＭＳ 明朝" w:hAnsi="ＭＳ 明朝" w:hint="eastAsia"/>
          <w:szCs w:val="21"/>
        </w:rPr>
        <w:t>た評価方法と、金融商品に係る会計基準における評価方法と2通りの評価基準が存在する。</w:t>
      </w:r>
    </w:p>
    <w:p w:rsidR="00682790" w:rsidRPr="00457F0D" w:rsidRDefault="00682790" w:rsidP="00682790">
      <w:pPr>
        <w:ind w:leftChars="-1" w:left="-2" w:firstLineChars="100" w:firstLine="210"/>
        <w:rPr>
          <w:rFonts w:ascii="ＭＳ 明朝" w:hAnsi="ＭＳ 明朝"/>
          <w:szCs w:val="21"/>
        </w:rPr>
      </w:pPr>
      <w:r w:rsidRPr="00934A27">
        <w:rPr>
          <w:rFonts w:ascii="ＭＳ 明朝" w:hAnsi="ＭＳ 明朝" w:hint="eastAsia"/>
          <w:szCs w:val="21"/>
        </w:rPr>
        <w:t>有責法ファンドにおいては有責法において定められた評価基準により決算書作成が義務付けられている一方、出資者において自社の決算に取り込むにあたっては金融商品に係る会計基準による決算書が必要であるため</w:t>
      </w:r>
      <w:r w:rsidRPr="000E10DC">
        <w:rPr>
          <w:rFonts w:ascii="ＭＳ 明朝" w:hAnsi="ＭＳ 明朝" w:hint="eastAsia"/>
          <w:szCs w:val="21"/>
        </w:rPr>
        <w:t>、ＧＰの多くは</w:t>
      </w:r>
      <w:r w:rsidRPr="00934A27">
        <w:rPr>
          <w:rFonts w:ascii="ＭＳ 明朝" w:hAnsi="ＭＳ 明朝" w:hint="eastAsia"/>
          <w:szCs w:val="21"/>
        </w:rPr>
        <w:t>出資者の便宜を図るため</w:t>
      </w:r>
      <w:r w:rsidRPr="000E10DC">
        <w:rPr>
          <w:rFonts w:ascii="ＭＳ 明朝" w:hAnsi="ＭＳ 明朝" w:hint="eastAsia"/>
          <w:szCs w:val="21"/>
        </w:rPr>
        <w:t>2</w:t>
      </w:r>
      <w:r w:rsidRPr="00457F0D">
        <w:rPr>
          <w:rFonts w:ascii="ＭＳ 明朝" w:hAnsi="ＭＳ 明朝" w:hint="eastAsia"/>
          <w:szCs w:val="21"/>
        </w:rPr>
        <w:t>通りの決算書を作成しているのが実状である。</w:t>
      </w:r>
    </w:p>
    <w:p w:rsidR="00682790" w:rsidRPr="00934A27" w:rsidRDefault="00682790" w:rsidP="00682790">
      <w:pPr>
        <w:ind w:leftChars="-1" w:left="-2" w:firstLineChars="100" w:firstLine="210"/>
        <w:rPr>
          <w:rFonts w:ascii="ＭＳ 明朝" w:hAnsi="ＭＳ 明朝"/>
          <w:szCs w:val="21"/>
        </w:rPr>
      </w:pPr>
      <w:r w:rsidRPr="00922893">
        <w:rPr>
          <w:rFonts w:ascii="ＭＳ 明朝" w:hAnsi="ＭＳ 明朝" w:hint="eastAsia"/>
          <w:szCs w:val="21"/>
        </w:rPr>
        <w:t>つまり、</w:t>
      </w:r>
      <w:r w:rsidRPr="00934A27">
        <w:rPr>
          <w:rFonts w:ascii="ＭＳ 明朝" w:hAnsi="ＭＳ 明朝" w:hint="eastAsia"/>
          <w:szCs w:val="21"/>
        </w:rPr>
        <w:t>現状</w:t>
      </w:r>
      <w:r w:rsidRPr="000E10DC">
        <w:rPr>
          <w:rFonts w:ascii="ＭＳ 明朝" w:hAnsi="ＭＳ 明朝" w:hint="eastAsia"/>
          <w:szCs w:val="21"/>
        </w:rPr>
        <w:t>ＧＰは、会計上</w:t>
      </w:r>
      <w:r w:rsidRPr="00457F0D">
        <w:rPr>
          <w:rFonts w:ascii="ＭＳ 明朝" w:hAnsi="ＭＳ 明朝" w:hint="eastAsia"/>
          <w:szCs w:val="21"/>
        </w:rPr>
        <w:t>2通りの決算書を作成し、かつ</w:t>
      </w:r>
      <w:r w:rsidRPr="00934A27">
        <w:rPr>
          <w:rFonts w:ascii="ＭＳ 明朝" w:hAnsi="ＭＳ 明朝" w:hint="eastAsia"/>
          <w:szCs w:val="21"/>
        </w:rPr>
        <w:t>上述の</w:t>
      </w:r>
      <w:r w:rsidRPr="000E10DC">
        <w:rPr>
          <w:rFonts w:ascii="ＭＳ 明朝" w:hAnsi="ＭＳ 明朝" w:hint="eastAsia"/>
          <w:szCs w:val="21"/>
        </w:rPr>
        <w:t>グローバル基準への対応も迫られた場合には３つの評価基準</w:t>
      </w:r>
      <w:r w:rsidRPr="00934A27">
        <w:rPr>
          <w:rFonts w:ascii="ＭＳ 明朝" w:hAnsi="ＭＳ 明朝" w:hint="eastAsia"/>
          <w:szCs w:val="21"/>
        </w:rPr>
        <w:t>に対応しなければならない</w:t>
      </w:r>
      <w:r w:rsidRPr="000E10DC">
        <w:rPr>
          <w:rFonts w:ascii="ＭＳ 明朝" w:hAnsi="ＭＳ 明朝" w:hint="eastAsia"/>
          <w:szCs w:val="21"/>
        </w:rPr>
        <w:t>こととなる。</w:t>
      </w:r>
    </w:p>
    <w:p w:rsidR="00682790" w:rsidRDefault="00682790" w:rsidP="00682790">
      <w:pPr>
        <w:ind w:leftChars="-1" w:left="-2" w:firstLineChars="100" w:firstLine="210"/>
        <w:rPr>
          <w:rFonts w:ascii="ＭＳ 明朝" w:hAnsi="ＭＳ 明朝"/>
          <w:szCs w:val="21"/>
        </w:rPr>
      </w:pPr>
      <w:r w:rsidRPr="000E10DC">
        <w:rPr>
          <w:rFonts w:ascii="ＭＳ 明朝" w:hAnsi="ＭＳ 明朝" w:hint="eastAsia"/>
          <w:szCs w:val="21"/>
        </w:rPr>
        <w:t>会計上の評価基準が一本化され、かつ出資者から要望されるパフォーマンス評価</w:t>
      </w:r>
      <w:r w:rsidRPr="00934A27">
        <w:rPr>
          <w:rFonts w:ascii="ＭＳ 明朝" w:hAnsi="ＭＳ 明朝" w:hint="eastAsia"/>
          <w:szCs w:val="21"/>
        </w:rPr>
        <w:t>と</w:t>
      </w:r>
      <w:r w:rsidRPr="000E10DC">
        <w:rPr>
          <w:rFonts w:ascii="ＭＳ 明朝" w:hAnsi="ＭＳ 明朝" w:hint="eastAsia"/>
          <w:szCs w:val="21"/>
        </w:rPr>
        <w:t>開示</w:t>
      </w:r>
      <w:r w:rsidRPr="00934A27">
        <w:rPr>
          <w:rFonts w:ascii="ＭＳ 明朝" w:hAnsi="ＭＳ 明朝" w:hint="eastAsia"/>
          <w:szCs w:val="21"/>
        </w:rPr>
        <w:t>に関する基準</w:t>
      </w:r>
      <w:r w:rsidRPr="000E10DC">
        <w:rPr>
          <w:rFonts w:ascii="ＭＳ 明朝" w:hAnsi="ＭＳ 明朝" w:hint="eastAsia"/>
          <w:szCs w:val="21"/>
        </w:rPr>
        <w:t>が整備されれば、かなりの事務負担及び混乱の軽減に繋がる。</w:t>
      </w:r>
    </w:p>
    <w:p w:rsidR="00B65399" w:rsidRDefault="00B65399" w:rsidP="007B65A0">
      <w:pPr>
        <w:jc w:val="right"/>
        <w:rPr>
          <w:rFonts w:ascii="ＭＳ 明朝" w:hAnsi="ＭＳ 明朝"/>
          <w:szCs w:val="21"/>
        </w:rPr>
      </w:pPr>
    </w:p>
    <w:p w:rsidR="007B65A0" w:rsidRPr="00133E2A" w:rsidRDefault="007B65A0" w:rsidP="007B65A0">
      <w:pPr>
        <w:jc w:val="right"/>
        <w:rPr>
          <w:rFonts w:ascii="ＭＳ 明朝" w:hAnsi="ＭＳ 明朝"/>
          <w:szCs w:val="21"/>
        </w:rPr>
      </w:pPr>
    </w:p>
    <w:sectPr w:rsidR="007B65A0" w:rsidRPr="00133E2A" w:rsidSect="007B65A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B7" w:rsidRDefault="00837EB7" w:rsidP="00682790">
      <w:r>
        <w:separator/>
      </w:r>
    </w:p>
  </w:endnote>
  <w:endnote w:type="continuationSeparator" w:id="0">
    <w:p w:rsidR="00837EB7" w:rsidRDefault="00837EB7" w:rsidP="0068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B7" w:rsidRDefault="00837EB7" w:rsidP="00682790">
      <w:r>
        <w:separator/>
      </w:r>
    </w:p>
  </w:footnote>
  <w:footnote w:type="continuationSeparator" w:id="0">
    <w:p w:rsidR="00837EB7" w:rsidRDefault="00837EB7" w:rsidP="00682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1B86"/>
    <w:multiLevelType w:val="hybridMultilevel"/>
    <w:tmpl w:val="468861AC"/>
    <w:lvl w:ilvl="0" w:tplc="BA1C65F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C8F5C13"/>
    <w:multiLevelType w:val="hybridMultilevel"/>
    <w:tmpl w:val="55040352"/>
    <w:lvl w:ilvl="0" w:tplc="BAB43C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887C85"/>
    <w:multiLevelType w:val="hybridMultilevel"/>
    <w:tmpl w:val="1CFAF85E"/>
    <w:lvl w:ilvl="0" w:tplc="C22A6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790"/>
    <w:rsid w:val="000C69CF"/>
    <w:rsid w:val="00154219"/>
    <w:rsid w:val="00191AF7"/>
    <w:rsid w:val="001B5E84"/>
    <w:rsid w:val="00256F81"/>
    <w:rsid w:val="00391BB0"/>
    <w:rsid w:val="0052516C"/>
    <w:rsid w:val="00634002"/>
    <w:rsid w:val="00682790"/>
    <w:rsid w:val="006C7B08"/>
    <w:rsid w:val="007B65A0"/>
    <w:rsid w:val="00837EB7"/>
    <w:rsid w:val="009F0760"/>
    <w:rsid w:val="00B65399"/>
    <w:rsid w:val="00C6394D"/>
    <w:rsid w:val="00CD78D3"/>
    <w:rsid w:val="00CF5D0E"/>
    <w:rsid w:val="00DD4D20"/>
    <w:rsid w:val="00F7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90"/>
    <w:pPr>
      <w:tabs>
        <w:tab w:val="center" w:pos="4252"/>
        <w:tab w:val="right" w:pos="8504"/>
      </w:tabs>
      <w:snapToGrid w:val="0"/>
    </w:pPr>
  </w:style>
  <w:style w:type="character" w:customStyle="1" w:styleId="a4">
    <w:name w:val="ヘッダー (文字)"/>
    <w:basedOn w:val="a0"/>
    <w:link w:val="a3"/>
    <w:uiPriority w:val="99"/>
    <w:rsid w:val="00682790"/>
  </w:style>
  <w:style w:type="paragraph" w:styleId="a5">
    <w:name w:val="footer"/>
    <w:basedOn w:val="a"/>
    <w:link w:val="a6"/>
    <w:uiPriority w:val="99"/>
    <w:unhideWhenUsed/>
    <w:rsid w:val="00682790"/>
    <w:pPr>
      <w:tabs>
        <w:tab w:val="center" w:pos="4252"/>
        <w:tab w:val="right" w:pos="8504"/>
      </w:tabs>
      <w:snapToGrid w:val="0"/>
    </w:pPr>
  </w:style>
  <w:style w:type="character" w:customStyle="1" w:styleId="a6">
    <w:name w:val="フッター (文字)"/>
    <w:basedOn w:val="a0"/>
    <w:link w:val="a5"/>
    <w:uiPriority w:val="99"/>
    <w:rsid w:val="00682790"/>
  </w:style>
  <w:style w:type="paragraph" w:styleId="a7">
    <w:name w:val="List Paragraph"/>
    <w:basedOn w:val="a"/>
    <w:uiPriority w:val="34"/>
    <w:qFormat/>
    <w:rsid w:val="00682790"/>
    <w:pPr>
      <w:ind w:leftChars="400" w:left="840"/>
    </w:pPr>
  </w:style>
  <w:style w:type="paragraph" w:styleId="a8">
    <w:name w:val="Note Heading"/>
    <w:basedOn w:val="a"/>
    <w:next w:val="a"/>
    <w:link w:val="a9"/>
    <w:uiPriority w:val="99"/>
    <w:unhideWhenUsed/>
    <w:rsid w:val="00B65399"/>
    <w:pPr>
      <w:jc w:val="center"/>
    </w:pPr>
    <w:rPr>
      <w:sz w:val="22"/>
    </w:rPr>
  </w:style>
  <w:style w:type="character" w:customStyle="1" w:styleId="a9">
    <w:name w:val="記 (文字)"/>
    <w:basedOn w:val="a0"/>
    <w:link w:val="a8"/>
    <w:uiPriority w:val="99"/>
    <w:rsid w:val="00B65399"/>
    <w:rPr>
      <w:sz w:val="22"/>
    </w:rPr>
  </w:style>
  <w:style w:type="paragraph" w:styleId="aa">
    <w:name w:val="Closing"/>
    <w:basedOn w:val="a"/>
    <w:link w:val="ab"/>
    <w:uiPriority w:val="99"/>
    <w:unhideWhenUsed/>
    <w:rsid w:val="00B65399"/>
    <w:pPr>
      <w:jc w:val="right"/>
    </w:pPr>
    <w:rPr>
      <w:sz w:val="22"/>
    </w:rPr>
  </w:style>
  <w:style w:type="character" w:customStyle="1" w:styleId="ab">
    <w:name w:val="結語 (文字)"/>
    <w:basedOn w:val="a0"/>
    <w:link w:val="aa"/>
    <w:uiPriority w:val="99"/>
    <w:rsid w:val="00B6539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ｎａｒｉｔａ</dc:creator>
  <cp:lastModifiedBy>Jasve</cp:lastModifiedBy>
  <cp:revision>2</cp:revision>
  <dcterms:created xsi:type="dcterms:W3CDTF">2013-06-28T05:59:00Z</dcterms:created>
  <dcterms:modified xsi:type="dcterms:W3CDTF">2013-06-28T05:59:00Z</dcterms:modified>
</cp:coreProperties>
</file>